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What Not To Score</w:t>
      </w:r>
    </w:p>
    <w:p>
      <w:pPr>
        <w:pStyle w:val="Subtitle"/>
      </w:pPr>
      <w:r>
        <w:t>What not to score in sales hiring including charisma, logo prestige, culture similarity, confidence, one polished story, and gut feel.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What not to score in sales hiring including charisma, logo prestige, culture similarity, confidence, one polished story, and gut feel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hiring-scorecard-what-not-to-scor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Not To Score</dc:title>
  <dc:subject>What not to score in sales hiring including charisma, logo prestige, culture similarity, confidence, one polished story, and gut feel.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