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Score The Work, Not The Polish</w:t>
      </w:r>
    </w:p>
    <w:p>
      <w:pPr>
        <w:pStyle w:val="Subtitle"/>
      </w:pPr>
      <w:r>
        <w:t>Comparison of work evidence versus interview polish for sales hiring scorecards.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https://accountexecutivejobs.com/blog/hiring-salespeople/sales-hiring-scorecard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Comparison of work evidence versus interview polish for sales hiring scorecard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les-hiring-scorecard-score-proof-not-polish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sales-hiring-scorecard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Score The Work, Not The Polish</dc:title>
  <dc:subject>Comparison of work evidence versus interview polish for sales hiring scorecards.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