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Quota Reality Check</w:t>
      </w:r>
    </w:p>
    <w:p>
      <w:pPr>
        <w:pStyle w:val="Subtitle"/>
      </w:pPr>
      <w:r>
        <w:t>Sales quota reality check covering deal value, win rate, opportunity supply, capacity, sales cycle, ramp, territory, and downside cases.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https://accountexecutivejobs.com/blog/sales-management/how-to-set-a-realistic-sales-quota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Sales quota reality check covering deal value, win rate, opportunity supply, capacity, sales cycle, ramp, territory, and downside cas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-to-set-a-realistic-sales-quota-quota-reality-check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management/how-to-set-a-realistic-sales-quota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Quota Reality Check</dc:title>
  <dc:subject>Sales quota reality check covering deal value, win rate, opportunity supply, capacity, sales cycle, ramp, territory, and downside cases.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