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Sales Quota Funnel Math</w:t>
      </w:r>
    </w:p>
    <w:p>
      <w:pPr>
        <w:pStyle w:val="Subtitle"/>
      </w:pPr>
      <w:r>
        <w:t>Animated sales quota model moving from bookings quota to wins, qualified opportunities, and closeable capacity.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https://accountexecutivejobs.com/blog/sales-management/how-to-set-a-realistic-sales-quota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3600450"/>
            <wp:docPr id="2" name="Picture 2" descr="Animated sales quota model moving from bookings quota to wins, qualified opportunities, and closeable capacity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w-to-set-a-realistic-sales-quota-funnel-math-moti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management/how-to-set-a-realistic-sales-quota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Quota Funnel Math</dc:title>
  <dc:subject>Animated sales quota model moving from bookings quota to wins, qualified opportunities, and closeable capacity.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