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Required Opportunities vs Closeable Capacity</w:t>
      </w:r>
    </w:p>
    <w:p>
      <w:pPr>
        <w:pStyle w:val="Subtitle"/>
      </w:pPr>
      <w:r>
        <w:t>Example comparing 48 required qualified opportunities with capacity for 36 opportunities that can close inside the quota year.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https://accountexecutivejobs.com/blog/sales-management/how-to-set-a-realistic-sales-quota</w:t>
        </w:r>
      </w:hyperlink>
    </w:p>
    <w:p>
      <w:pPr>
        <w:spacing w:after="280"/>
      </w:pPr>
      <w:r>
        <w:drawing>
          <wp:inline xmlns:a="http://schemas.openxmlformats.org/drawingml/2006/main" xmlns:pic="http://schemas.openxmlformats.org/drawingml/2006/picture">
            <wp:extent cx="6400800" cy="4000500"/>
            <wp:docPr id="2" name="Picture 2" descr="Example comparing 48 required qualified opportunities with capacity for 36 opportunities that can close inside the quota year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w-to-set-a-realistic-sales-quota-closeable-capacity-downloa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000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Use this reference</w:t>
      </w:r>
    </w:p>
    <w:p>
      <w:r>
        <w:t>Read the full guide for the context behind this visual. The original illustration and its source belong together when you share it.</w:t>
      </w:r>
    </w:p>
    <w:p>
      <w:pPr>
        <w:pStyle w:val="Heading2"/>
      </w:pPr>
      <w:r>
        <w:t>Notes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sales-management/how-to-set-a-realistic-sales-quota" TargetMode="External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Required Opportunities vs Closeable Capacity</dc:title>
  <dc:subject>Example comparing 48 required qualified opportunities with capacity for 36 opportunities that can close inside the quota year.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