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Clean Quota vs Fantasy Quota</w:t>
      </w:r>
    </w:p>
    <w:p>
      <w:pPr>
        <w:pStyle w:val="Subtitle"/>
      </w:pPr>
      <w:r>
        <w:t>Comparison between a realistic sales quota built from segmented evidence and a fantasy quota built from optimistic assumptions.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https://accountexecutivejobs.com/blog/sales-management/how-to-set-a-realistic-sales-quota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4000500"/>
            <wp:docPr id="2" name="Picture 2" descr="Comparison between a realistic sales quota built from segmented evidence and a fantasy quota built from optimistic assumption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w-to-set-a-realistic-sales-quota-clean-vs-fantasy-quota-downloa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sales-management/how-to-set-a-realistic-sales-quota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 Quota vs Fantasy Quota</dc:title>
  <dc:subject>Comparison between a realistic sales quota built from segmented evidence and a fantasy quota built from optimistic assumptions.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