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First account executive hiring readiness checklist</w:t>
      </w:r>
    </w:p>
    <w:p>
      <w:pPr>
        <w:pStyle w:val="Subtitle"/>
      </w:pPr>
      <w:r>
        <w:t>Record evidence, unresolved decisions, and an owner for each hiring prerequisite.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https://accountexecutivejobs.com/blog/hiring-salespeople/hire-first-account-executive</w:t>
        </w:r>
      </w:hyperlink>
    </w:p>
    <w:p>
      <w:pPr>
        <w:pStyle w:val="Heading2"/>
        <w:pageBreakBefore w:val="0"/>
      </w:pPr>
      <w:r>
        <w:t>Buyer and customer segment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Customer problem and purchase reason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Recent wins and losses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Current sales stages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Pipeline source and capacity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Founder responsibilities after hire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AE responsibilities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/>
      </w:pPr>
      <w:r>
        <w:t>Manager and training support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Pay and ramp budget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2"/>
        <w:pageBreakBefore w:val="0"/>
      </w:pPr>
      <w:r>
        <w:t>Approved hiring decision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Evidence or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Open decision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hire-first-account-execut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account executive hiring readiness checklist</dc:title>
  <dc:subject>Record evidence, unresolved decisions, and an owner for each hiring prerequisite.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