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From Salary To Fully Loaded AE Cost</w:t>
      </w:r>
    </w:p>
    <w:p>
      <w:pPr>
        <w:pStyle w:val="Subtitle"/>
      </w:pPr>
      <w:r>
        <w:t>Animated cost model adding cash wages, employer costs, ramp costs, and turnover disruption.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https://accountexecutivejobs.com/blog/hiring-salespeople/cost-of-hiring-and-replacing-an-account-executive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 descr="Animated cost model adding cash wages, employer costs, ramp costs, and turnover disruptio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-of-hiring-and-replacing-an-account-executive-cost-stack-mo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cost-of-hiring-and-replacing-an-account-executive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Salary To Fully Loaded AE Cost</dc:title>
  <dc:subject>Animated cost model adding cash wages, employer costs, ramp costs, and turnover disruption.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